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承德县</w:t>
      </w:r>
      <w:r>
        <w:rPr>
          <w:rFonts w:hint="eastAsia" w:ascii="Times New Roman" w:hAnsi="Times New Roman" w:eastAsia="方正小标宋_GBK" w:cs="Times New Roman"/>
          <w:sz w:val="44"/>
          <w:szCs w:val="44"/>
          <w:lang w:eastAsia="zh-CN"/>
        </w:rPr>
        <w:t>纪委</w:t>
      </w:r>
      <w:r>
        <w:rPr>
          <w:rFonts w:ascii="Times New Roman" w:hAnsi="Times New Roman" w:eastAsia="方正小标宋_GBK" w:cs="Times New Roman"/>
          <w:sz w:val="44"/>
          <w:szCs w:val="44"/>
        </w:rPr>
        <w:t>20</w:t>
      </w:r>
      <w:r>
        <w:rPr>
          <w:rFonts w:hint="eastAsia" w:ascii="Times New Roman" w:hAnsi="Times New Roman" w:eastAsia="方正小标宋_GBK" w:cs="Times New Roman"/>
          <w:sz w:val="44"/>
          <w:szCs w:val="44"/>
        </w:rPr>
        <w:t>21</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rPr>
        <w:t>情况说明</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《预算法》、</w:t>
      </w:r>
      <w:r>
        <w:rPr>
          <w:rFonts w:ascii="Times New Roman" w:hAnsi="Times New Roman" w:eastAsia="方正仿宋_GBK" w:cs="Times New Roman"/>
          <w:sz w:val="32"/>
          <w:szCs w:val="32"/>
        </w:rPr>
        <w:t>《</w:t>
      </w:r>
      <w:r>
        <w:rPr>
          <w:rFonts w:hint="eastAsia" w:ascii="Times New Roman" w:eastAsia="方正仿宋_GBK"/>
          <w:sz w:val="32"/>
          <w:szCs w:val="32"/>
        </w:rPr>
        <w:t>河北省预决算公开操作规程实施细则</w:t>
      </w:r>
      <w:r>
        <w:rPr>
          <w:rFonts w:ascii="Times New Roman" w:hAnsi="Times New Roman" w:eastAsia="方正仿宋_GBK" w:cs="Times New Roman"/>
          <w:sz w:val="32"/>
          <w:szCs w:val="32"/>
        </w:rPr>
        <w:t>》</w:t>
      </w:r>
      <w:r>
        <w:rPr>
          <w:rFonts w:hint="eastAsia" w:ascii="Times New Roman" w:eastAsia="方正仿宋_GBK"/>
          <w:sz w:val="32"/>
          <w:szCs w:val="32"/>
        </w:rPr>
        <w:t>》（冀财预〔</w:t>
      </w:r>
      <w:r>
        <w:rPr>
          <w:rFonts w:ascii="Times New Roman" w:hAnsi="Times New Roman" w:eastAsia="方正仿宋_GBK" w:cs="Times New Roman"/>
          <w:sz w:val="32"/>
          <w:szCs w:val="32"/>
        </w:rPr>
        <w:t>2016</w:t>
      </w:r>
      <w:r>
        <w:rPr>
          <w:rFonts w:hint="eastAsia" w:ascii="Times New Roman" w:eastAsia="方正仿宋_GBK"/>
          <w:sz w:val="32"/>
          <w:szCs w:val="32"/>
        </w:rPr>
        <w:t>〕</w:t>
      </w:r>
      <w:r>
        <w:rPr>
          <w:rFonts w:ascii="Times New Roman" w:hAnsi="Times New Roman" w:eastAsia="方正仿宋_GBK" w:cs="Times New Roman"/>
          <w:sz w:val="32"/>
          <w:szCs w:val="32"/>
        </w:rPr>
        <w:t>129</w:t>
      </w:r>
      <w:r>
        <w:rPr>
          <w:rFonts w:hint="eastAsia" w:ascii="Times New Roman" w:eastAsia="方正仿宋_GBK"/>
          <w:sz w:val="32"/>
          <w:szCs w:val="32"/>
        </w:rPr>
        <w:t>号）和《承德市财政预决算公开实施细则》（承财办〔</w:t>
      </w: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7</w:t>
      </w:r>
      <w:r>
        <w:rPr>
          <w:rFonts w:hint="eastAsia" w:ascii="Times New Roman" w:eastAsia="方正仿宋_GBK"/>
          <w:sz w:val="32"/>
          <w:szCs w:val="32"/>
        </w:rPr>
        <w:t>〕</w:t>
      </w:r>
      <w:r>
        <w:rPr>
          <w:rFonts w:hint="eastAsia" w:ascii="Times New Roman" w:hAnsi="Times New Roman" w:eastAsia="方正仿宋_GBK" w:cs="Times New Roman"/>
          <w:sz w:val="32"/>
          <w:szCs w:val="32"/>
        </w:rPr>
        <w:t>11</w:t>
      </w:r>
      <w:r>
        <w:rPr>
          <w:rFonts w:hint="eastAsia" w:ascii="Times New Roman" w:eastAsia="方正仿宋_GBK"/>
          <w:sz w:val="32"/>
          <w:szCs w:val="32"/>
        </w:rPr>
        <w:t>号）</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，现将20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本</w:t>
      </w:r>
      <w:r>
        <w:rPr>
          <w:rFonts w:ascii="Times New Roman" w:hAnsi="Times New Roman" w:eastAsia="方正仿宋_GBK" w:cs="Times New Roman"/>
          <w:sz w:val="32"/>
          <w:szCs w:val="32"/>
        </w:rPr>
        <w:t>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spacing w:line="500" w:lineRule="exact"/>
        <w:ind w:firstLine="640" w:firstLineChars="200"/>
        <w:jc w:val="left"/>
        <w:rPr>
          <w:rFonts w:hint="eastAsia" w:ascii="仿宋_GB2312" w:hAnsi="仿宋_GB2312" w:eastAsia="仿宋_GB2312" w:cs="仿宋_GB2312"/>
          <w:sz w:val="32"/>
          <w:szCs w:val="32"/>
        </w:rPr>
      </w:pP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r>
        <w:rPr>
          <w:rFonts w:hint="eastAsia" w:ascii="仿宋_GB2312" w:hAnsi="仿宋_GB2312" w:eastAsia="仿宋_GB2312" w:cs="仿宋_GB2312"/>
          <w:sz w:val="32"/>
          <w:szCs w:val="32"/>
        </w:rPr>
        <w:t>根据《中国共产党承德县纪律检查委员会部门职能配置、内设机构和人员编制规定》， 中国共产党承德县纪律检查委员会部门的主要职责是：</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全县党的纪律检查工作。贯彻落实党中央、中央纪委、省委、市委和县委关于纪律检查工作的决策部署，维护党的章程和其他党内法规，检查党的路线、方针、政策和决议的执行情况，协助县委推进全面从严治党、加强党风建设和组织协调反腐败工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照党的章程和其他党内法规履行监督、执纪、问责职责。负责对党员进行教育遵守纪律的教育，作出关于维护党纪的决定。对县委工作机关、县委批准设立的党委（党组），各乡镇（街道）党委、纪委等党的组织和县委管理的党员干部履行职责、行使权力进行监督，受理处置党员群众检举举报，检查和处理上述党的组织和党员违反党的章程和其他党内法规的案件，决定或者取消对这些案件中的党员的处分；进行问责或者提出责任追究的建议；受理党员的控告和申诉，保障党员权利。</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3.支持配合巡视巡察工作。承担巡视巡察整改日常监督责任，做发巡视巡察整改督查督办工作，依规依纪依法处置巡视巡察移交的反映领导干部问题线索。</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4.负责全县监察工作。贯彻落实党中央和省委、市委、县委有关监察工作的决策部署，维护宪法法律，依法对县委管理的行使公权力的公职人员进行监察，调查职务违法和职务犯罪，开展廉政建设和反腐败工作。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依照法律规定履行监督、调查、处置职责。推动开展廉政教育，对县委管理的行使公权力的公职人员依法履职、秉公用权、廉洁从政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6.负责组织协调全面从严治党、党风廉政建设和反腐败宣传教育工作。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7.负责综合分析全面从严治党、党风廉政建设和反腐败工作情况，对纪检监察工作重要理论及实践问题进行调查研究；制定或者修改全县纪检察法规制度，参与起草有关法律、法规和规范性文件。</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8.负责组织协调全县反腐败追逃追赃和防逃工作，督促有关单位做好相关工作。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根据干部管理权限，负责全县纪检监察系统领导班子建设、干部队伍建设和组织建设的综合规划、政策研究、制度建设和业务指导；会同有关方面做好县委巡察机构、县纪委监委派驻机构、乡镇纪检监察机构、县属企事业单位纪检监察机构领导班子建设有关工作；组织和指导全县纪检监察干部的培训工作等；</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10.承办市纪委监委、县委交办的其他工作。</w:t>
      </w:r>
    </w:p>
    <w:p>
      <w:pPr>
        <w:ind w:firstLine="627" w:firstLineChars="196"/>
        <w:rPr>
          <w:rFonts w:ascii="仿宋_GB2312" w:hAnsi="仿宋_GB2312" w:eastAsia="仿宋_GB2312" w:cs="仿宋_GB2312"/>
          <w:color w:val="FF0000"/>
          <w:sz w:val="32"/>
          <w:szCs w:val="32"/>
        </w:rPr>
      </w:pPr>
    </w:p>
    <w:p>
      <w:pPr>
        <w:autoSpaceDE w:val="0"/>
        <w:autoSpaceDN w:val="0"/>
        <w:adjustRightInd w:val="0"/>
        <w:ind w:firstLine="640" w:firstLineChars="20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6"/>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中国共产党承德县纪律检查委员会</w:t>
            </w:r>
          </w:p>
        </w:tc>
        <w:tc>
          <w:tcPr>
            <w:tcW w:w="1134"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行政</w:t>
            </w:r>
          </w:p>
        </w:tc>
        <w:tc>
          <w:tcPr>
            <w:tcW w:w="1276"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副处级</w:t>
            </w:r>
          </w:p>
        </w:tc>
        <w:tc>
          <w:tcPr>
            <w:tcW w:w="2902" w:type="dxa"/>
            <w:vAlign w:val="center"/>
          </w:tcPr>
          <w:p>
            <w:pPr>
              <w:spacing w:line="300" w:lineRule="exact"/>
              <w:jc w:val="center"/>
              <w:rPr>
                <w:rFonts w:hint="default"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eastAsia="zh-CN"/>
              </w:rPr>
              <w:t>财政</w:t>
            </w:r>
            <w:r>
              <w:rPr>
                <w:rFonts w:hint="eastAsia" w:ascii="Times New Roman" w:hAnsi="Times New Roman" w:eastAsia="方正书宋_GBK" w:cs="Times New Roman"/>
                <w:szCs w:val="24"/>
                <w:lang w:val="en-US" w:eastAsia="zh-CN"/>
              </w:rPr>
              <w:t>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ascii="Times New Roman"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ascii="Times New Roman"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ascii="Times New Roman"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p>
        </w:tc>
        <w:tc>
          <w:tcPr>
            <w:tcW w:w="1134" w:type="dxa"/>
            <w:vAlign w:val="center"/>
          </w:tcPr>
          <w:p>
            <w:pPr>
              <w:spacing w:line="300" w:lineRule="exact"/>
              <w:jc w:val="left"/>
              <w:rPr>
                <w:rFonts w:ascii="Times New Roman" w:hAnsi="Times New Roman" w:eastAsia="方正书宋_GBK" w:cs="Times New Roman"/>
                <w:szCs w:val="24"/>
              </w:rPr>
            </w:pPr>
          </w:p>
        </w:tc>
        <w:tc>
          <w:tcPr>
            <w:tcW w:w="1276" w:type="dxa"/>
            <w:vAlign w:val="center"/>
          </w:tcPr>
          <w:p>
            <w:pPr>
              <w:spacing w:line="300" w:lineRule="exact"/>
              <w:jc w:val="left"/>
              <w:rPr>
                <w:rFonts w:ascii="Times New Roman" w:hAnsi="Times New Roman" w:eastAsia="方正书宋_GBK" w:cs="Times New Roman"/>
                <w:szCs w:val="24"/>
              </w:rPr>
            </w:pPr>
          </w:p>
        </w:tc>
        <w:tc>
          <w:tcPr>
            <w:tcW w:w="2902" w:type="dxa"/>
            <w:vAlign w:val="center"/>
          </w:tcPr>
          <w:p>
            <w:pPr>
              <w:spacing w:line="300" w:lineRule="exact"/>
              <w:jc w:val="left"/>
              <w:rPr>
                <w:rFonts w:ascii="Times New Roman"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p>
        </w:tc>
        <w:tc>
          <w:tcPr>
            <w:tcW w:w="1134" w:type="dxa"/>
            <w:vAlign w:val="center"/>
          </w:tcPr>
          <w:p>
            <w:pPr>
              <w:spacing w:line="300" w:lineRule="exact"/>
              <w:jc w:val="left"/>
              <w:rPr>
                <w:rFonts w:ascii="Times New Roman" w:hAnsi="Times New Roman" w:eastAsia="方正书宋_GBK" w:cs="Times New Roman"/>
                <w:szCs w:val="24"/>
              </w:rPr>
            </w:pPr>
          </w:p>
        </w:tc>
        <w:tc>
          <w:tcPr>
            <w:tcW w:w="1276" w:type="dxa"/>
            <w:vAlign w:val="center"/>
          </w:tcPr>
          <w:p>
            <w:pPr>
              <w:spacing w:line="300" w:lineRule="exact"/>
              <w:jc w:val="left"/>
              <w:rPr>
                <w:rFonts w:ascii="Times New Roman" w:hAnsi="Times New Roman" w:eastAsia="方正书宋_GBK" w:cs="Times New Roman"/>
                <w:szCs w:val="24"/>
              </w:rPr>
            </w:pPr>
          </w:p>
        </w:tc>
        <w:tc>
          <w:tcPr>
            <w:tcW w:w="2902" w:type="dxa"/>
            <w:vAlign w:val="center"/>
          </w:tcPr>
          <w:p>
            <w:pPr>
              <w:spacing w:line="300" w:lineRule="exact"/>
              <w:jc w:val="left"/>
              <w:rPr>
                <w:rFonts w:ascii="Times New Roman" w:hAnsi="Times New Roman" w:eastAsia="方正书宋_GBK" w:cs="Times New Roman"/>
                <w:szCs w:val="24"/>
              </w:rPr>
            </w:pP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按照预算管理有关规定， </w:t>
      </w:r>
      <w:r>
        <w:rPr>
          <w:rFonts w:hint="eastAsia" w:ascii="Times New Roman" w:hAnsi="Times New Roman" w:eastAsia="方正仿宋_GBK" w:cs="Times New Roman"/>
          <w:sz w:val="32"/>
          <w:szCs w:val="32"/>
        </w:rPr>
        <w:t>目前我省部门预算编制实行综合预算管理，即全部收支都反映在预算里，现将本部门收入和支出预算公开如下：</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收入说明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反应本部门当年全部收入，2021年预算收入</w:t>
      </w:r>
      <w:r>
        <w:rPr>
          <w:rFonts w:hint="eastAsia" w:ascii="仿宋_GB2312" w:hAnsi="仿宋_GB2312" w:eastAsia="仿宋_GB2312" w:cs="仿宋_GB2312"/>
          <w:sz w:val="32"/>
          <w:szCs w:val="32"/>
          <w:lang w:val="en-US" w:eastAsia="zh-CN"/>
        </w:rPr>
        <w:t>1393.16</w:t>
      </w:r>
      <w:r>
        <w:rPr>
          <w:rFonts w:hint="eastAsia" w:ascii="仿宋_GB2312" w:hAnsi="仿宋_GB2312" w:eastAsia="仿宋_GB2312" w:cs="仿宋_GB2312"/>
          <w:sz w:val="32"/>
          <w:szCs w:val="32"/>
        </w:rPr>
        <w:t>万元，其中：</w:t>
      </w:r>
      <w:r>
        <w:rPr>
          <w:rFonts w:ascii="仿宋_GB2312" w:hAnsi="仿宋_GB2312" w:eastAsia="仿宋_GB2312" w:cs="仿宋_GB2312"/>
          <w:sz w:val="32"/>
          <w:szCs w:val="32"/>
        </w:rPr>
        <w:t>一般公共预算收入</w:t>
      </w:r>
      <w:r>
        <w:rPr>
          <w:rFonts w:hint="eastAsia" w:ascii="仿宋_GB2312" w:hAnsi="仿宋_GB2312" w:eastAsia="仿宋_GB2312" w:cs="仿宋_GB2312"/>
          <w:sz w:val="32"/>
          <w:szCs w:val="32"/>
          <w:lang w:val="en-US" w:eastAsia="zh-CN"/>
        </w:rPr>
        <w:t>1393.16</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基金预算</w:t>
      </w:r>
      <w:r>
        <w:rPr>
          <w:rFonts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财政专户核拨收入</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，其他来源收入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支出说明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收支预算总表支出栏、基本支出表、项目支出表按经济分类和支出功能分类科目编制，反映承德县</w:t>
      </w:r>
      <w:r>
        <w:rPr>
          <w:rFonts w:hint="eastAsia" w:ascii="仿宋_GB2312" w:hAnsi="仿宋_GB2312" w:eastAsia="仿宋_GB2312" w:cs="仿宋_GB2312"/>
          <w:sz w:val="32"/>
          <w:szCs w:val="32"/>
          <w:lang w:eastAsia="zh-CN"/>
        </w:rPr>
        <w:t>纪委</w:t>
      </w:r>
      <w:r>
        <w:rPr>
          <w:rFonts w:hint="eastAsia" w:ascii="仿宋_GB2312" w:hAnsi="仿宋_GB2312" w:eastAsia="仿宋_GB2312" w:cs="仿宋_GB2312"/>
          <w:sz w:val="32"/>
          <w:szCs w:val="32"/>
        </w:rPr>
        <w:t>年度部门预算中支出预算的总体情况。2021年部门支出预算为</w:t>
      </w:r>
      <w:r>
        <w:rPr>
          <w:rFonts w:hint="eastAsia" w:ascii="仿宋_GB2312" w:hAnsi="仿宋_GB2312" w:eastAsia="仿宋_GB2312" w:cs="仿宋_GB2312"/>
          <w:sz w:val="32"/>
          <w:szCs w:val="32"/>
          <w:lang w:val="en-US" w:eastAsia="zh-CN"/>
        </w:rPr>
        <w:t>1393.16</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1283.16</w:t>
      </w:r>
      <w:r>
        <w:rPr>
          <w:rFonts w:hint="eastAsia" w:ascii="仿宋_GB2312" w:hAnsi="仿宋_GB2312" w:eastAsia="仿宋_GB2312" w:cs="仿宋_GB2312"/>
          <w:sz w:val="32"/>
          <w:szCs w:val="32"/>
        </w:rPr>
        <w:t>万元，包括人员经费</w:t>
      </w:r>
      <w:r>
        <w:rPr>
          <w:rFonts w:hint="eastAsia" w:ascii="仿宋_GB2312" w:hAnsi="仿宋_GB2312" w:eastAsia="仿宋_GB2312" w:cs="仿宋_GB2312"/>
          <w:sz w:val="32"/>
          <w:szCs w:val="32"/>
          <w:lang w:val="en-US" w:eastAsia="zh-CN"/>
        </w:rPr>
        <w:t>941.46</w:t>
      </w:r>
      <w:r>
        <w:rPr>
          <w:rFonts w:hint="eastAsia" w:ascii="仿宋_GB2312" w:hAnsi="仿宋_GB2312" w:eastAsia="仿宋_GB2312" w:cs="仿宋_GB2312"/>
          <w:sz w:val="32"/>
          <w:szCs w:val="32"/>
        </w:rPr>
        <w:t>万元和日常公用经费</w:t>
      </w:r>
      <w:r>
        <w:rPr>
          <w:rFonts w:hint="eastAsia" w:ascii="仿宋_GB2312" w:hAnsi="仿宋_GB2312" w:eastAsia="仿宋_GB2312" w:cs="仿宋_GB2312"/>
          <w:sz w:val="32"/>
          <w:szCs w:val="32"/>
          <w:lang w:val="en-US" w:eastAsia="zh-CN"/>
        </w:rPr>
        <w:t>341.70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办理大要案及巡察监督</w:t>
      </w:r>
      <w:r>
        <w:rPr>
          <w:rFonts w:hint="eastAsia" w:ascii="仿宋_GB2312" w:hAnsi="仿宋_GB2312" w:eastAsia="仿宋_GB2312" w:cs="仿宋_GB2312"/>
          <w:sz w:val="32"/>
          <w:szCs w:val="32"/>
        </w:rPr>
        <w:t>等支出，其中上级提前下达转移支付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万元。全部为本级支出。</w:t>
      </w:r>
    </w:p>
    <w:p>
      <w:pPr>
        <w:numPr>
          <w:ilvl w:val="0"/>
          <w:numId w:val="1"/>
        </w:numPr>
        <w:rPr>
          <w:rFonts w:ascii="Times New Roman" w:hAnsi="Times New Roman" w:eastAsia="方正仿宋_GBK" w:cs="Times New Roman"/>
          <w:sz w:val="32"/>
          <w:szCs w:val="32"/>
        </w:rPr>
      </w:pPr>
      <w:r>
        <w:rPr>
          <w:rFonts w:ascii="Times New Roman" w:hAnsi="Times New Roman" w:eastAsia="方正仿宋_GBK" w:cs="Times New Roman"/>
          <w:sz w:val="32"/>
          <w:szCs w:val="32"/>
        </w:rPr>
        <w:t>比上年增减情况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2021年部门预算较2020年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37.82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eastAsia="zh-CN"/>
        </w:rPr>
        <w:t>减少</w:t>
      </w:r>
      <w:bookmarkStart w:id="0" w:name="_GoBack"/>
      <w:bookmarkEnd w:id="0"/>
      <w:r>
        <w:rPr>
          <w:rFonts w:hint="eastAsia" w:ascii="仿宋_GB2312" w:hAnsi="仿宋_GB2312" w:eastAsia="仿宋_GB2312" w:cs="仿宋_GB2312"/>
          <w:sz w:val="32"/>
          <w:szCs w:val="32"/>
          <w:lang w:val="en-US" w:eastAsia="zh-CN"/>
        </w:rPr>
        <w:t>37.82</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人员经费预算减少</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eastAsia="zh-CN"/>
        </w:rPr>
        <w:t>与上年持平</w:t>
      </w:r>
      <w:r>
        <w:rPr>
          <w:rFonts w:hint="eastAsia" w:ascii="仿宋_GB2312" w:hAnsi="仿宋_GB2312" w:eastAsia="仿宋_GB2312" w:cs="仿宋_GB2312"/>
          <w:sz w:val="32"/>
          <w:szCs w:val="32"/>
        </w:rPr>
        <w:t>。</w:t>
      </w:r>
    </w:p>
    <w:p>
      <w:pPr>
        <w:autoSpaceDE w:val="0"/>
        <w:autoSpaceDN w:val="0"/>
        <w:adjustRightInd w:val="0"/>
        <w:ind w:firstLine="707" w:firstLineChars="221"/>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2021年，我局机关运行经费共计安排</w:t>
      </w:r>
      <w:r>
        <w:rPr>
          <w:rFonts w:hint="eastAsia" w:ascii="仿宋_GB2312" w:hAnsi="仿宋_GB2312" w:eastAsia="仿宋_GB2312" w:cs="仿宋_GB2312"/>
          <w:sz w:val="32"/>
          <w:szCs w:val="32"/>
          <w:lang w:val="en-US" w:eastAsia="zh-CN"/>
        </w:rPr>
        <w:t>341.70</w:t>
      </w:r>
      <w:r>
        <w:rPr>
          <w:rFonts w:hint="eastAsia" w:ascii="仿宋_GB2312" w:hAnsi="仿宋_GB2312" w:eastAsia="仿宋_GB2312" w:cs="仿宋_GB2312"/>
          <w:sz w:val="32"/>
          <w:szCs w:val="32"/>
        </w:rPr>
        <w:t>万元，主要用于保证机关正常运转的办公及印刷费、邮电费、差旅费、会议费、福利费、日常维修费、办公楼物业管理费、公务车运行维护费等支出。较2020年运转经费</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人员变动导致运转经费减少</w:t>
      </w:r>
      <w:r>
        <w:rPr>
          <w:rFonts w:hint="eastAsia" w:ascii="仿宋_GB2312" w:hAnsi="仿宋_GB2312" w:eastAsia="仿宋_GB2312" w:cs="仿宋_GB2312"/>
          <w:sz w:val="32"/>
          <w:szCs w:val="32"/>
        </w:rPr>
        <w:t>。</w:t>
      </w:r>
    </w:p>
    <w:p>
      <w:pPr>
        <w:autoSpaceDE w:val="0"/>
        <w:autoSpaceDN w:val="0"/>
        <w:adjustRightInd w:val="0"/>
        <w:ind w:left="198" w:firstLine="508" w:firstLineChars="159"/>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7" w:leftChars="94"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2021年，我局财政拨款“三公”经费预算安排</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万元，其中：因公出国（境）费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万元，较上年持平；公务用车购置及运维费</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万元，较上年持平，公务用车运行费</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万元，较上年减少</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t>。“三公”经费整体较上年减少</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lang w:eastAsia="zh-CN"/>
        </w:rPr>
        <w:t>公务用车运行经费减少</w:t>
      </w:r>
      <w:r>
        <w:rPr>
          <w:rFonts w:hint="eastAsia" w:ascii="仿宋_GB2312" w:hAnsi="仿宋_GB2312" w:eastAsia="仿宋_GB2312" w:cs="仿宋_GB2312"/>
          <w:sz w:val="32"/>
          <w:szCs w:val="32"/>
        </w:rPr>
        <w:t>。</w:t>
      </w:r>
    </w:p>
    <w:p>
      <w:pPr>
        <w:autoSpaceDE w:val="0"/>
        <w:autoSpaceDN w:val="0"/>
        <w:adjustRightInd w:val="0"/>
        <w:ind w:left="198" w:firstLine="508" w:firstLineChars="159"/>
        <w:jc w:val="left"/>
        <w:rPr>
          <w:rFonts w:ascii="黑体" w:hAnsi="黑体" w:eastAsia="黑体" w:cs="Times New Roman"/>
          <w:sz w:val="32"/>
          <w:szCs w:val="32"/>
        </w:rPr>
      </w:pPr>
      <w:r>
        <w:rPr>
          <w:rFonts w:hint="eastAsia" w:ascii="黑体" w:hAnsi="黑体" w:eastAsia="黑体" w:cs="Times New Roman"/>
          <w:sz w:val="32"/>
          <w:szCs w:val="32"/>
        </w:rPr>
        <w:t>五、国有资产信息</w:t>
      </w:r>
    </w:p>
    <w:p>
      <w:pPr>
        <w:ind w:left="-424" w:leftChars="-202" w:firstLine="640"/>
        <w:rPr>
          <w:rFonts w:ascii="仿宋_GB2312" w:hAnsi="黑体" w:eastAsia="仿宋_GB2312" w:cs="Times New Roman"/>
          <w:sz w:val="32"/>
          <w:szCs w:val="32"/>
        </w:rPr>
      </w:pPr>
      <w:r>
        <w:rPr>
          <w:rFonts w:hint="eastAsia" w:ascii="仿宋_GB2312" w:hAnsi="黑体" w:eastAsia="仿宋_GB2312" w:cs="Times New Roman"/>
          <w:sz w:val="32"/>
          <w:szCs w:val="32"/>
        </w:rPr>
        <w:t>承德县</w:t>
      </w:r>
      <w:r>
        <w:rPr>
          <w:rFonts w:hint="eastAsia" w:ascii="仿宋_GB2312" w:hAnsi="黑体" w:eastAsia="仿宋_GB2312" w:cs="Times New Roman"/>
          <w:sz w:val="32"/>
          <w:szCs w:val="32"/>
          <w:lang w:eastAsia="zh-CN"/>
        </w:rPr>
        <w:t>纪委</w:t>
      </w:r>
      <w:r>
        <w:rPr>
          <w:rFonts w:hint="eastAsia" w:ascii="仿宋_GB2312" w:hAnsi="黑体" w:eastAsia="仿宋_GB2312" w:cs="Times New Roman"/>
          <w:sz w:val="32"/>
          <w:szCs w:val="32"/>
        </w:rPr>
        <w:t>上年末固定资产金额为</w:t>
      </w:r>
      <w:r>
        <w:rPr>
          <w:rFonts w:hint="eastAsia" w:ascii="仿宋_GB2312" w:hAnsi="黑体" w:eastAsia="仿宋_GB2312" w:cs="Times New Roman"/>
          <w:sz w:val="32"/>
          <w:szCs w:val="32"/>
          <w:lang w:val="en-US" w:eastAsia="zh-CN"/>
        </w:rPr>
        <w:t>665.1</w:t>
      </w:r>
      <w:r>
        <w:rPr>
          <w:rFonts w:hint="eastAsia" w:ascii="仿宋_GB2312" w:hAnsi="黑体" w:eastAsia="仿宋_GB2312" w:cs="Times New Roman"/>
          <w:sz w:val="32"/>
          <w:szCs w:val="32"/>
        </w:rPr>
        <w:t>万元（详见下表），本年度本部门拟购置固定资产主要为计算机、一体机、空调、打印机、投影仪等，共计</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万元。</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承德县</w:t>
            </w:r>
            <w:r>
              <w:rPr>
                <w:rFonts w:hint="eastAsia" w:ascii="宋体" w:hAnsi="宋体" w:cs="宋体"/>
                <w:b/>
                <w:bCs/>
                <w:kern w:val="0"/>
                <w:sz w:val="32"/>
                <w:szCs w:val="32"/>
                <w:lang w:eastAsia="zh-CN"/>
              </w:rPr>
              <w:t>纪委</w:t>
            </w: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eastAsia" w:ascii="宋体" w:hAnsi="宋体" w:eastAsia="宋体" w:cs="宋体"/>
                <w:kern w:val="0"/>
                <w:sz w:val="22"/>
                <w:lang w:eastAsia="zh-CN"/>
              </w:rPr>
            </w:pPr>
            <w:r>
              <w:rPr>
                <w:rFonts w:hint="eastAsia" w:ascii="宋体" w:hAnsi="宋体" w:cs="宋体"/>
                <w:kern w:val="0"/>
                <w:sz w:val="22"/>
              </w:rPr>
              <w:t>编制部门：承德县</w:t>
            </w:r>
            <w:r>
              <w:rPr>
                <w:rFonts w:hint="eastAsia" w:ascii="宋体" w:hAnsi="宋体" w:cs="宋体"/>
                <w:kern w:val="0"/>
                <w:sz w:val="22"/>
                <w:lang w:eastAsia="zh-CN"/>
              </w:rPr>
              <w:t>纪委</w:t>
            </w:r>
          </w:p>
        </w:tc>
        <w:tc>
          <w:tcPr>
            <w:tcW w:w="5103" w:type="dxa"/>
            <w:tcBorders>
              <w:top w:val="nil"/>
              <w:left w:val="nil"/>
              <w:bottom w:val="nil"/>
              <w:right w:val="nil"/>
            </w:tcBorders>
            <w:vAlign w:val="center"/>
          </w:tcPr>
          <w:p>
            <w:pPr>
              <w:widowControl/>
              <w:ind w:firstLine="220" w:firstLineChars="100"/>
              <w:jc w:val="left"/>
              <w:rPr>
                <w:rFonts w:ascii="宋体" w:hAnsi="宋体" w:cs="宋体"/>
                <w:kern w:val="0"/>
                <w:sz w:val="22"/>
              </w:rPr>
            </w:pPr>
            <w:r>
              <w:rPr>
                <w:rFonts w:hint="eastAsia" w:ascii="宋体" w:hAnsi="宋体" w:cs="宋体"/>
                <w:kern w:val="0"/>
                <w:sz w:val="22"/>
              </w:rPr>
              <w:t xml:space="preserve">截止时间：2020年12月31日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1724</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665.31</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1832.45</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1107.02</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rPr>
              <w:t>8</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rPr>
              <w:t>152.54</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1716</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512.77</w:t>
            </w:r>
          </w:p>
        </w:tc>
      </w:tr>
    </w:tbl>
    <w:p>
      <w:pPr>
        <w:autoSpaceDE w:val="0"/>
        <w:autoSpaceDN w:val="0"/>
        <w:adjustRightInd w:val="0"/>
        <w:ind w:firstLine="848" w:firstLineChars="265"/>
        <w:jc w:val="left"/>
        <w:rPr>
          <w:rFonts w:ascii="黑体" w:hAnsi="黑体" w:eastAsia="黑体" w:cs="Times New Roman"/>
          <w:sz w:val="32"/>
          <w:szCs w:val="32"/>
        </w:rPr>
      </w:pPr>
      <w:r>
        <w:rPr>
          <w:rFonts w:hint="eastAsia" w:ascii="黑体" w:hAnsi="黑体" w:eastAsia="黑体" w:cs="Times New Roman"/>
          <w:sz w:val="32"/>
          <w:szCs w:val="32"/>
        </w:rPr>
        <w:t>八、名词解释</w:t>
      </w:r>
    </w:p>
    <w:p>
      <w:pPr>
        <w:autoSpaceDE w:val="0"/>
        <w:autoSpaceDN w:val="0"/>
        <w:adjustRightInd w:val="0"/>
        <w:ind w:left="420" w:leftChars="200" w:firstLine="428" w:firstLineChars="13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1、一般预算收入：县级财政当年拨付的资金。</w:t>
      </w:r>
    </w:p>
    <w:p>
      <w:pPr>
        <w:autoSpaceDE w:val="0"/>
        <w:autoSpaceDN w:val="0"/>
        <w:adjustRightInd w:val="0"/>
        <w:ind w:left="420" w:leftChars="200" w:firstLine="428" w:firstLineChars="13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2、基本支出：为保障机构正常运转，完成日常工作任务，而发生的人员支出和公用支出。</w:t>
      </w:r>
    </w:p>
    <w:p>
      <w:pPr>
        <w:autoSpaceDE w:val="0"/>
        <w:autoSpaceDN w:val="0"/>
        <w:adjustRightInd w:val="0"/>
        <w:ind w:left="420" w:leftChars="200" w:firstLine="428" w:firstLineChars="13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3、项目支出：是指在基本支出之外，为完成特定行政任务和事业发展目标，而发生的支出。</w:t>
      </w:r>
    </w:p>
    <w:p>
      <w:pPr>
        <w:autoSpaceDE w:val="0"/>
        <w:autoSpaceDN w:val="0"/>
        <w:adjustRightInd w:val="0"/>
        <w:ind w:left="141" w:leftChars="67" w:firstLine="707" w:firstLineChars="22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pPr>
        <w:autoSpaceDE w:val="0"/>
        <w:autoSpaceDN w:val="0"/>
        <w:adjustRightInd w:val="0"/>
        <w:ind w:left="141" w:leftChars="67" w:firstLine="704" w:firstLineChars="2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“三公”经费：纳入</w:t>
      </w:r>
      <w:r>
        <w:rPr>
          <w:rFonts w:hint="eastAsia" w:ascii="仿宋_GB2312" w:hAnsi="仿宋_GB2312" w:eastAsia="仿宋_GB2312" w:cs="仿宋_GB2312"/>
          <w:sz w:val="32"/>
          <w:szCs w:val="32"/>
        </w:rPr>
        <w:t>县</w:t>
      </w:r>
      <w:r>
        <w:rPr>
          <w:rFonts w:ascii="仿宋_GB2312" w:hAnsi="仿宋_GB2312" w:eastAsia="仿宋_GB2312" w:cs="仿宋_GB2312"/>
          <w:sz w:val="32"/>
          <w:szCs w:val="32"/>
        </w:rPr>
        <w:t>级财政预算管理的“三公”经费，是指</w:t>
      </w:r>
      <w:r>
        <w:rPr>
          <w:rFonts w:hint="eastAsia" w:ascii="仿宋_GB2312" w:hAnsi="仿宋_GB2312" w:eastAsia="仿宋_GB2312" w:cs="仿宋_GB2312"/>
          <w:sz w:val="32"/>
          <w:szCs w:val="32"/>
        </w:rPr>
        <w:t>县</w:t>
      </w:r>
      <w:r>
        <w:rPr>
          <w:rFonts w:ascii="仿宋_GB2312" w:hAnsi="仿宋_GB2312" w:eastAsia="仿宋_GB2312" w:cs="仿宋_GB2312"/>
          <w:sz w:val="32"/>
          <w:szCs w:val="32"/>
        </w:rPr>
        <w:t>级部门用财政拨款安排的因公出 国（境）费、公务用车购置及运维费和公务接待费。其中，因公出国（境）费反映单位公务出国（境） 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autoSpaceDE w:val="0"/>
        <w:autoSpaceDN w:val="0"/>
        <w:adjustRightInd w:val="0"/>
        <w:ind w:firstLine="643" w:firstLineChars="200"/>
        <w:jc w:val="left"/>
        <w:rPr>
          <w:rFonts w:ascii="黑体" w:hAnsi="黑体" w:eastAsia="黑体" w:cs="宋体-方正超大字符集"/>
          <w:b/>
          <w:bCs/>
          <w:sz w:val="32"/>
          <w:szCs w:val="32"/>
        </w:rPr>
      </w:pPr>
      <w:r>
        <w:rPr>
          <w:rFonts w:hint="eastAsia" w:ascii="黑体" w:hAnsi="黑体" w:eastAsia="黑体" w:cs="宋体-方正超大字符集"/>
          <w:b/>
          <w:bCs/>
          <w:sz w:val="32"/>
          <w:szCs w:val="32"/>
        </w:rPr>
        <w:t>九、其他需要说明的事项</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我部门无其他需要说明的事项。</w:t>
      </w:r>
    </w:p>
    <w:p>
      <w:pPr>
        <w:autoSpaceDE w:val="0"/>
        <w:autoSpaceDN w:val="0"/>
        <w:adjustRightInd w:val="0"/>
        <w:ind w:firstLine="643" w:firstLineChars="200"/>
        <w:jc w:val="left"/>
        <w:rPr>
          <w:rFonts w:ascii="黑体" w:hAnsi="黑体" w:eastAsia="黑体" w:cs="宋体-方正超大字符集"/>
          <w:b/>
          <w:bCs/>
          <w:sz w:val="32"/>
          <w:szCs w:val="32"/>
        </w:rPr>
      </w:pPr>
      <w:r>
        <w:rPr>
          <w:rFonts w:hint="eastAsia" w:ascii="黑体" w:hAnsi="黑体" w:eastAsia="黑体" w:cs="宋体-方正超大字符集"/>
          <w:b/>
          <w:bCs/>
          <w:sz w:val="32"/>
          <w:szCs w:val="32"/>
        </w:rPr>
        <w:t>十、财政批复部门预算日期为：2021年2月18日。</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宋体-方正超大字符集">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E0342"/>
    <w:multiLevelType w:val="multilevel"/>
    <w:tmpl w:val="767E0342"/>
    <w:lvl w:ilvl="0" w:tentative="0">
      <w:start w:val="3"/>
      <w:numFmt w:val="decimal"/>
      <w:lvlText w:val="%1、"/>
      <w:lvlJc w:val="left"/>
      <w:pPr>
        <w:ind w:left="1430" w:hanging="7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CCA"/>
    <w:rsid w:val="00053F14"/>
    <w:rsid w:val="00083A13"/>
    <w:rsid w:val="000D13E0"/>
    <w:rsid w:val="000F0AC1"/>
    <w:rsid w:val="0010645C"/>
    <w:rsid w:val="001175A6"/>
    <w:rsid w:val="00135135"/>
    <w:rsid w:val="001622F4"/>
    <w:rsid w:val="0017256E"/>
    <w:rsid w:val="00174458"/>
    <w:rsid w:val="00193471"/>
    <w:rsid w:val="001B6ABC"/>
    <w:rsid w:val="001E21CB"/>
    <w:rsid w:val="002006BA"/>
    <w:rsid w:val="00265B08"/>
    <w:rsid w:val="0029012A"/>
    <w:rsid w:val="00300E77"/>
    <w:rsid w:val="003057BE"/>
    <w:rsid w:val="003253AB"/>
    <w:rsid w:val="003A5F5D"/>
    <w:rsid w:val="003B4010"/>
    <w:rsid w:val="003B63B2"/>
    <w:rsid w:val="003C12E3"/>
    <w:rsid w:val="003C6FC4"/>
    <w:rsid w:val="003E5588"/>
    <w:rsid w:val="00427AD4"/>
    <w:rsid w:val="00442B31"/>
    <w:rsid w:val="004C695C"/>
    <w:rsid w:val="004D08A2"/>
    <w:rsid w:val="00526986"/>
    <w:rsid w:val="00527CD5"/>
    <w:rsid w:val="00553E19"/>
    <w:rsid w:val="00606072"/>
    <w:rsid w:val="00606AA6"/>
    <w:rsid w:val="00607400"/>
    <w:rsid w:val="00616F53"/>
    <w:rsid w:val="0064152D"/>
    <w:rsid w:val="00645426"/>
    <w:rsid w:val="00662267"/>
    <w:rsid w:val="00682D0B"/>
    <w:rsid w:val="006E5471"/>
    <w:rsid w:val="006F55E4"/>
    <w:rsid w:val="00750522"/>
    <w:rsid w:val="007522F5"/>
    <w:rsid w:val="00755A2F"/>
    <w:rsid w:val="00785D10"/>
    <w:rsid w:val="007A689C"/>
    <w:rsid w:val="007E1B8C"/>
    <w:rsid w:val="0084675A"/>
    <w:rsid w:val="00866081"/>
    <w:rsid w:val="008A101B"/>
    <w:rsid w:val="008C670E"/>
    <w:rsid w:val="008F56F7"/>
    <w:rsid w:val="009063FA"/>
    <w:rsid w:val="0096502F"/>
    <w:rsid w:val="00975F6F"/>
    <w:rsid w:val="00985CCA"/>
    <w:rsid w:val="009F3280"/>
    <w:rsid w:val="00A67C10"/>
    <w:rsid w:val="00A72F7A"/>
    <w:rsid w:val="00AE1006"/>
    <w:rsid w:val="00B02399"/>
    <w:rsid w:val="00B42431"/>
    <w:rsid w:val="00B877B3"/>
    <w:rsid w:val="00BC1C8A"/>
    <w:rsid w:val="00BC69DF"/>
    <w:rsid w:val="00C00F22"/>
    <w:rsid w:val="00CA0893"/>
    <w:rsid w:val="00CC4652"/>
    <w:rsid w:val="00CF0CD9"/>
    <w:rsid w:val="00CF77CA"/>
    <w:rsid w:val="00D110B4"/>
    <w:rsid w:val="00D32403"/>
    <w:rsid w:val="00D57055"/>
    <w:rsid w:val="00D6114C"/>
    <w:rsid w:val="00D8467C"/>
    <w:rsid w:val="00D92030"/>
    <w:rsid w:val="00DE25B0"/>
    <w:rsid w:val="00DE2E0F"/>
    <w:rsid w:val="00E0378C"/>
    <w:rsid w:val="00E349F6"/>
    <w:rsid w:val="00EB2B7F"/>
    <w:rsid w:val="00EB7142"/>
    <w:rsid w:val="00F3717F"/>
    <w:rsid w:val="00F539C4"/>
    <w:rsid w:val="00FC4551"/>
    <w:rsid w:val="00FE18E2"/>
    <w:rsid w:val="0F345219"/>
    <w:rsid w:val="402304B7"/>
    <w:rsid w:val="580F23D4"/>
    <w:rsid w:val="5BC23DAF"/>
    <w:rsid w:val="76E44ACA"/>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uiPriority w:val="0"/>
    <w:rPr>
      <w:rFonts w:ascii="Times New Roman" w:hAnsi="Times New Roman" w:cs="Times New Roman"/>
      <w:szCs w:val="24"/>
    </w:rPr>
  </w:style>
  <w:style w:type="paragraph" w:styleId="5">
    <w:name w:val="toc 2"/>
    <w:basedOn w:val="1"/>
    <w:next w:val="1"/>
    <w:qFormat/>
    <w:uiPriority w:val="0"/>
    <w:pPr>
      <w:ind w:left="420" w:leftChars="200"/>
    </w:pPr>
    <w:rPr>
      <w:rFonts w:ascii="Times New Roman" w:hAnsi="Times New Roman" w:cs="Times New Roman"/>
      <w:szCs w:val="24"/>
    </w:rPr>
  </w:style>
  <w:style w:type="character" w:customStyle="1" w:styleId="8">
    <w:name w:val="页眉 Char"/>
    <w:basedOn w:val="7"/>
    <w:link w:val="3"/>
    <w:qFormat/>
    <w:uiPriority w:val="0"/>
    <w:rPr>
      <w:rFonts w:ascii="Times New Roman" w:hAnsi="Times New Roman" w:eastAsia="宋体" w:cs="Times New Roman"/>
      <w:sz w:val="18"/>
      <w:szCs w:val="18"/>
    </w:rPr>
  </w:style>
  <w:style w:type="character" w:customStyle="1" w:styleId="9">
    <w:name w:val="页脚 Char"/>
    <w:basedOn w:val="7"/>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347</Words>
  <Characters>1983</Characters>
  <Lines>16</Lines>
  <Paragraphs>4</Paragraphs>
  <TotalTime>12</TotalTime>
  <ScaleCrop>false</ScaleCrop>
  <LinksUpToDate>false</LinksUpToDate>
  <CharactersWithSpaces>2326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2017-01-20T01:29:00Z</dcterms:created>
  <dc:creator>guest</dc:creator>
  <cp:lastModifiedBy>刘广明</cp:lastModifiedBy>
  <cp:lastPrinted>2021-02-18T00:58:00Z</cp:lastPrinted>
  <dcterms:modified xsi:type="dcterms:W3CDTF">2021-02-23T06:54:06Z</dcterms:modified>
  <dc:title>河北省2017年部门预算信息公开</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